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8D452" w14:textId="1EEAF20B" w:rsidR="00E90E49" w:rsidRPr="00F6302A" w:rsidRDefault="00E90E49" w:rsidP="00E35559">
      <w:pPr>
        <w:pStyle w:val="3GPPHeader"/>
        <w:spacing w:after="60"/>
        <w:rPr>
          <w:sz w:val="32"/>
          <w:szCs w:val="32"/>
          <w:highlight w:val="yellow"/>
          <w:lang w:val="en-US"/>
        </w:rPr>
      </w:pPr>
      <w:r w:rsidRPr="00F6302A">
        <w:rPr>
          <w:lang w:val="en-US"/>
        </w:rPr>
        <w:t>3GPP TSG-RAN WG</w:t>
      </w:r>
      <w:r w:rsidR="00271501">
        <w:rPr>
          <w:lang w:val="en-US"/>
        </w:rPr>
        <w:t>4</w:t>
      </w:r>
      <w:r w:rsidRPr="00F6302A">
        <w:rPr>
          <w:lang w:val="en-US"/>
        </w:rPr>
        <w:t xml:space="preserve"> #</w:t>
      </w:r>
      <w:r w:rsidR="00271501">
        <w:rPr>
          <w:lang w:val="en-US"/>
        </w:rPr>
        <w:t>99-e</w:t>
      </w:r>
      <w:r w:rsidRPr="00F6302A">
        <w:rPr>
          <w:lang w:val="en-US"/>
        </w:rPr>
        <w:tab/>
      </w:r>
      <w:r w:rsidR="000D53AE" w:rsidRPr="000D53AE">
        <w:rPr>
          <w:sz w:val="32"/>
          <w:szCs w:val="32"/>
          <w:lang w:val="en-US"/>
        </w:rPr>
        <w:t>R4-2110725</w:t>
      </w:r>
    </w:p>
    <w:p w14:paraId="3095EBC3" w14:textId="77777777" w:rsidR="00E90E49" w:rsidRPr="00F6302A" w:rsidRDefault="00271501" w:rsidP="00311702">
      <w:pPr>
        <w:pStyle w:val="3GPPHeader"/>
        <w:rPr>
          <w:lang w:val="en-US"/>
        </w:rPr>
      </w:pPr>
      <w:r w:rsidRPr="00271501">
        <w:rPr>
          <w:lang w:val="en-US"/>
        </w:rPr>
        <w:t>Electronic meeting</w:t>
      </w:r>
      <w:r w:rsidR="0027144F" w:rsidRPr="00271501">
        <w:rPr>
          <w:lang w:val="en-US"/>
        </w:rPr>
        <w:t xml:space="preserve">, </w:t>
      </w:r>
      <w:r w:rsidRPr="00271501">
        <w:rPr>
          <w:lang w:val="en-US"/>
        </w:rPr>
        <w:t>19</w:t>
      </w:r>
      <w:r w:rsidR="0027144F" w:rsidRPr="00271501">
        <w:rPr>
          <w:lang w:val="en-US"/>
        </w:rPr>
        <w:t xml:space="preserve">th – </w:t>
      </w:r>
      <w:r w:rsidRPr="00271501">
        <w:rPr>
          <w:lang w:val="en-US"/>
        </w:rPr>
        <w:t>27</w:t>
      </w:r>
      <w:r w:rsidR="0027144F" w:rsidRPr="00271501">
        <w:rPr>
          <w:lang w:val="en-US"/>
        </w:rPr>
        <w:t xml:space="preserve">th </w:t>
      </w:r>
      <w:r w:rsidRPr="00271501">
        <w:rPr>
          <w:lang w:val="en-US"/>
        </w:rPr>
        <w:t>May</w:t>
      </w:r>
      <w:r w:rsidR="0027144F" w:rsidRPr="00271501">
        <w:rPr>
          <w:lang w:val="en-US"/>
        </w:rPr>
        <w:t xml:space="preserve"> 20</w:t>
      </w:r>
      <w:r w:rsidRPr="00271501">
        <w:rPr>
          <w:lang w:val="en-US"/>
        </w:rPr>
        <w:t>2</w:t>
      </w:r>
      <w:r w:rsidR="00E34188" w:rsidRPr="00271501">
        <w:rPr>
          <w:lang w:val="en-US"/>
        </w:rPr>
        <w:t>1</w:t>
      </w:r>
    </w:p>
    <w:p w14:paraId="0282647F" w14:textId="77777777" w:rsidR="00E90E49" w:rsidRPr="00F6302A" w:rsidRDefault="00E90E49" w:rsidP="00357380">
      <w:pPr>
        <w:pStyle w:val="3GPPHeader"/>
        <w:rPr>
          <w:lang w:val="en-US"/>
        </w:rPr>
      </w:pPr>
    </w:p>
    <w:p w14:paraId="5F561425"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044FB3E4" w14:textId="3EA70CE5"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C22F69">
        <w:rPr>
          <w:sz w:val="22"/>
          <w:lang w:val="en-US"/>
        </w:rPr>
        <w:t>General issues for IAB specifications</w:t>
      </w:r>
    </w:p>
    <w:p w14:paraId="00B4D580" w14:textId="08812716" w:rsidR="00DE761A" w:rsidRPr="00DE761A" w:rsidRDefault="00DE761A" w:rsidP="00DE761A">
      <w:pPr>
        <w:pStyle w:val="3GPPHeader"/>
        <w:rPr>
          <w:sz w:val="22"/>
        </w:rPr>
      </w:pPr>
      <w:r w:rsidRPr="00DE761A">
        <w:rPr>
          <w:sz w:val="22"/>
        </w:rPr>
        <w:t>Agenda Item:</w:t>
      </w:r>
      <w:r w:rsidRPr="00DE761A">
        <w:rPr>
          <w:sz w:val="22"/>
        </w:rPr>
        <w:tab/>
      </w:r>
      <w:r w:rsidR="00964535">
        <w:rPr>
          <w:sz w:val="22"/>
        </w:rPr>
        <w:t>6.3.6.1</w:t>
      </w:r>
    </w:p>
    <w:p w14:paraId="346F2E4C" w14:textId="0E3965A2"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C22F69">
        <w:rPr>
          <w:sz w:val="22"/>
          <w:lang w:val="en-US"/>
        </w:rPr>
        <w:t>Approval</w:t>
      </w:r>
    </w:p>
    <w:p w14:paraId="284FE630" w14:textId="77777777" w:rsidR="00E90E49" w:rsidRPr="00F6302A" w:rsidRDefault="00E90E49" w:rsidP="00E90E49">
      <w:pPr>
        <w:rPr>
          <w:lang w:val="en-US"/>
        </w:rPr>
      </w:pPr>
    </w:p>
    <w:p w14:paraId="1C3E96D8" w14:textId="77777777" w:rsidR="00E90E49" w:rsidRPr="00F6302A" w:rsidRDefault="00E90E49" w:rsidP="00E90E49">
      <w:pPr>
        <w:pStyle w:val="Heading1"/>
        <w:rPr>
          <w:lang w:val="en-US"/>
        </w:rPr>
      </w:pPr>
      <w:r w:rsidRPr="00F6302A">
        <w:rPr>
          <w:lang w:val="en-US"/>
        </w:rPr>
        <w:t>Introduction</w:t>
      </w:r>
    </w:p>
    <w:p w14:paraId="282D9EAB" w14:textId="50C472FA" w:rsidR="00477768" w:rsidRPr="00F6302A" w:rsidRDefault="00C22F69" w:rsidP="0027144F">
      <w:pPr>
        <w:pStyle w:val="BodyText"/>
        <w:rPr>
          <w:lang w:val="en-US"/>
        </w:rPr>
      </w:pPr>
      <w:r>
        <w:rPr>
          <w:lang w:val="en-US"/>
        </w:rPr>
        <w:t xml:space="preserve">This contribution raises some general issues for the IAB-DU and IAB-MT performance requirements, </w:t>
      </w:r>
      <w:proofErr w:type="gramStart"/>
      <w:r>
        <w:rPr>
          <w:lang w:val="en-US"/>
        </w:rPr>
        <w:t>in particular in</w:t>
      </w:r>
      <w:proofErr w:type="gramEnd"/>
      <w:r>
        <w:rPr>
          <w:lang w:val="en-US"/>
        </w:rPr>
        <w:t xml:space="preserve"> relation to conformance testing.</w:t>
      </w:r>
    </w:p>
    <w:p w14:paraId="792CDF2C" w14:textId="77777777" w:rsidR="004000E8" w:rsidRPr="00F6302A" w:rsidRDefault="004000E8" w:rsidP="004000E8">
      <w:pPr>
        <w:pStyle w:val="Heading1"/>
        <w:rPr>
          <w:lang w:val="en-US"/>
        </w:rPr>
      </w:pPr>
      <w:bookmarkStart w:id="0" w:name="_Ref178064866"/>
      <w:r w:rsidRPr="00F6302A">
        <w:rPr>
          <w:lang w:val="en-US"/>
        </w:rPr>
        <w:t>Discussion</w:t>
      </w:r>
      <w:bookmarkEnd w:id="0"/>
    </w:p>
    <w:p w14:paraId="75305181" w14:textId="7D087F81" w:rsidR="00C22F69" w:rsidRPr="00C22F69" w:rsidRDefault="00C22F69" w:rsidP="00132FD0">
      <w:pPr>
        <w:rPr>
          <w:u w:val="single"/>
          <w:lang w:val="en-US"/>
        </w:rPr>
      </w:pPr>
      <w:r w:rsidRPr="00C22F69">
        <w:rPr>
          <w:u w:val="single"/>
          <w:lang w:val="en-US"/>
        </w:rPr>
        <w:t>RF channels to test</w:t>
      </w:r>
    </w:p>
    <w:p w14:paraId="426AA143" w14:textId="20BEF8B2" w:rsidR="00C22F69" w:rsidRDefault="00C22F69" w:rsidP="00132FD0">
      <w:pPr>
        <w:rPr>
          <w:lang w:val="en-US"/>
        </w:rPr>
      </w:pPr>
      <w:r>
        <w:rPr>
          <w:lang w:val="en-US"/>
        </w:rPr>
        <w:t xml:space="preserve">The conformance specification specifies which RF channel should be tested. For RF requirements, several RF channels within the band may be tested. Performance requirements are intended to set requirements on baseband performance and, due to the large AWGN component of the test signal, the performance is independent of the RF. There is then non need to test any more than a single RF channel, since RF requirements ensure performance of </w:t>
      </w:r>
      <w:proofErr w:type="gramStart"/>
      <w:r>
        <w:rPr>
          <w:lang w:val="en-US"/>
        </w:rPr>
        <w:t>all of</w:t>
      </w:r>
      <w:proofErr w:type="gramEnd"/>
      <w:r>
        <w:rPr>
          <w:lang w:val="en-US"/>
        </w:rPr>
        <w:t xml:space="preserve"> the RF channels and baseband performance does not depend on the channel.</w:t>
      </w:r>
    </w:p>
    <w:p w14:paraId="595790A4" w14:textId="4EE22050" w:rsidR="00C22F69" w:rsidRDefault="00C22F69" w:rsidP="00132FD0">
      <w:pPr>
        <w:rPr>
          <w:lang w:val="en-US"/>
        </w:rPr>
      </w:pPr>
      <w:proofErr w:type="gramStart"/>
      <w:r>
        <w:rPr>
          <w:lang w:val="en-US"/>
        </w:rPr>
        <w:t>Similar to</w:t>
      </w:r>
      <w:proofErr w:type="gramEnd"/>
      <w:r>
        <w:rPr>
          <w:lang w:val="en-US"/>
        </w:rPr>
        <w:t xml:space="preserve"> the BS performance specification, it is proposed to test only the M channel.</w:t>
      </w:r>
    </w:p>
    <w:p w14:paraId="45E69A01" w14:textId="3AAEE9F6" w:rsidR="00C22F69" w:rsidRDefault="00C22F69" w:rsidP="00132FD0">
      <w:pPr>
        <w:rPr>
          <w:lang w:val="en-US"/>
        </w:rPr>
      </w:pPr>
    </w:p>
    <w:p w14:paraId="635254C9" w14:textId="2AEA2A1A" w:rsidR="00C22F69" w:rsidRDefault="00C22F69" w:rsidP="00132FD0">
      <w:pPr>
        <w:rPr>
          <w:b/>
          <w:bCs/>
          <w:lang w:val="en-US"/>
        </w:rPr>
      </w:pPr>
      <w:r>
        <w:rPr>
          <w:b/>
          <w:bCs/>
          <w:lang w:val="en-US"/>
        </w:rPr>
        <w:t>Proposal 1: Test only the M RF channel.</w:t>
      </w:r>
    </w:p>
    <w:p w14:paraId="745DEBB4" w14:textId="7290904D" w:rsidR="00C22F69" w:rsidRDefault="00C22F69" w:rsidP="00132FD0">
      <w:pPr>
        <w:rPr>
          <w:b/>
          <w:bCs/>
          <w:lang w:val="en-US"/>
        </w:rPr>
      </w:pPr>
    </w:p>
    <w:p w14:paraId="2EFCDD66" w14:textId="3000645C" w:rsidR="00C22F69" w:rsidRDefault="00C22F69" w:rsidP="00132FD0">
      <w:pPr>
        <w:rPr>
          <w:u w:val="single"/>
          <w:lang w:val="en-US"/>
        </w:rPr>
      </w:pPr>
      <w:r>
        <w:rPr>
          <w:u w:val="single"/>
          <w:lang w:val="en-US"/>
        </w:rPr>
        <w:t>Directions for radiated testing</w:t>
      </w:r>
    </w:p>
    <w:p w14:paraId="1A16E295" w14:textId="0E0B98DA" w:rsidR="00C22F69" w:rsidRDefault="00C22F69" w:rsidP="00132FD0">
      <w:pPr>
        <w:rPr>
          <w:lang w:val="en-US"/>
        </w:rPr>
      </w:pPr>
      <w:r>
        <w:rPr>
          <w:lang w:val="en-US"/>
        </w:rPr>
        <w:t>The performance requirements do not test beam steering functionality and it is sufficient to test in a single direction.</w:t>
      </w:r>
      <w:r w:rsidR="00F52F8F">
        <w:rPr>
          <w:lang w:val="en-US"/>
        </w:rPr>
        <w:t xml:space="preserve"> The OTA sensitivity requirement assesses beam steering capability.</w:t>
      </w:r>
    </w:p>
    <w:p w14:paraId="0763081E" w14:textId="7D3B193F" w:rsidR="00C22F69" w:rsidRDefault="00C22F69" w:rsidP="00132FD0">
      <w:pPr>
        <w:rPr>
          <w:lang w:val="en-US"/>
        </w:rPr>
      </w:pPr>
    </w:p>
    <w:p w14:paraId="5F44887C" w14:textId="26DAC397" w:rsidR="00C22F69" w:rsidRPr="00C22F69" w:rsidRDefault="00C22F69" w:rsidP="00132FD0">
      <w:pPr>
        <w:rPr>
          <w:b/>
          <w:bCs/>
          <w:lang w:val="en-US"/>
        </w:rPr>
      </w:pPr>
      <w:r>
        <w:rPr>
          <w:b/>
          <w:bCs/>
          <w:lang w:val="en-US"/>
        </w:rPr>
        <w:t xml:space="preserve">Proposal </w:t>
      </w:r>
      <w:r w:rsidRPr="00F52F8F">
        <w:rPr>
          <w:b/>
          <w:bCs/>
          <w:lang w:val="en-US"/>
        </w:rPr>
        <w:t xml:space="preserve">2: For radiated requirements, test only in the </w:t>
      </w:r>
      <w:r w:rsidRPr="00964535">
        <w:rPr>
          <w:b/>
          <w:bCs/>
          <w:color w:val="000000"/>
          <w:lang w:val="en-US" w:eastAsia="ja-JP"/>
        </w:rPr>
        <w:t xml:space="preserve">OTA REFSENS </w:t>
      </w:r>
      <w:r w:rsidRPr="00964535">
        <w:rPr>
          <w:b/>
          <w:bCs/>
          <w:i/>
          <w:iCs/>
          <w:color w:val="000000"/>
          <w:lang w:val="en-US" w:eastAsia="ja-JP"/>
        </w:rPr>
        <w:t>receiver target reference direction</w:t>
      </w:r>
    </w:p>
    <w:p w14:paraId="6DD653D4" w14:textId="6DF3A594" w:rsidR="00C22F69" w:rsidRDefault="00C22F69" w:rsidP="00132FD0">
      <w:pPr>
        <w:rPr>
          <w:lang w:val="en-US"/>
        </w:rPr>
      </w:pPr>
    </w:p>
    <w:p w14:paraId="5DF59E0A" w14:textId="0BC8FB80" w:rsidR="00C22F69" w:rsidRDefault="00F52F8F" w:rsidP="00132FD0">
      <w:pPr>
        <w:rPr>
          <w:u w:val="single"/>
          <w:lang w:val="en-US"/>
        </w:rPr>
      </w:pPr>
      <w:r>
        <w:rPr>
          <w:u w:val="single"/>
          <w:lang w:val="en-US"/>
        </w:rPr>
        <w:t>Measurement uncertainties and Test Tolerances</w:t>
      </w:r>
    </w:p>
    <w:p w14:paraId="386525A8" w14:textId="3C533AE8" w:rsidR="00F52F8F" w:rsidRDefault="00F52F8F" w:rsidP="00132FD0">
      <w:pPr>
        <w:rPr>
          <w:lang w:val="en-US"/>
        </w:rPr>
      </w:pPr>
      <w:r>
        <w:rPr>
          <w:lang w:val="en-US"/>
        </w:rPr>
        <w:lastRenderedPageBreak/>
        <w:t xml:space="preserve">Measurement uncertainties and Test Tolerances have been agreed in RAN4 for the BS specifications and RAN5 for the UE specifications. The type of measurement chambers and practicalities differ very substantially between BS </w:t>
      </w:r>
      <w:proofErr w:type="gramStart"/>
      <w:r>
        <w:rPr>
          <w:lang w:val="en-US"/>
        </w:rPr>
        <w:t>an</w:t>
      </w:r>
      <w:proofErr w:type="gramEnd"/>
      <w:r>
        <w:rPr>
          <w:lang w:val="en-US"/>
        </w:rPr>
        <w:t xml:space="preserve"> UE due to </w:t>
      </w:r>
      <w:r w:rsidR="003A5079">
        <w:rPr>
          <w:lang w:val="en-US"/>
        </w:rPr>
        <w:t xml:space="preserve">amongst other things </w:t>
      </w:r>
      <w:r>
        <w:rPr>
          <w:lang w:val="en-US"/>
        </w:rPr>
        <w:t>difference</w:t>
      </w:r>
      <w:r w:rsidR="003A5079">
        <w:rPr>
          <w:lang w:val="en-US"/>
        </w:rPr>
        <w:t>s</w:t>
      </w:r>
      <w:r>
        <w:rPr>
          <w:lang w:val="en-US"/>
        </w:rPr>
        <w:t xml:space="preserve"> in form factor, power levels, sensitivity levels, operation of the </w:t>
      </w:r>
      <w:proofErr w:type="spellStart"/>
      <w:r>
        <w:rPr>
          <w:lang w:val="en-US"/>
        </w:rPr>
        <w:t>Uu</w:t>
      </w:r>
      <w:proofErr w:type="spellEnd"/>
      <w:r>
        <w:rPr>
          <w:lang w:val="en-US"/>
        </w:rPr>
        <w:t xml:space="preserve"> in both directions</w:t>
      </w:r>
      <w:r w:rsidR="003A5079">
        <w:rPr>
          <w:lang w:val="en-US"/>
        </w:rPr>
        <w:t xml:space="preserve">. Attempting to compare or select one of the MUs between BS and UE is thus meaningless, since it is in effect arbitrarily selecting a test </w:t>
      </w:r>
      <w:proofErr w:type="spellStart"/>
      <w:r w:rsidR="003A5079">
        <w:rPr>
          <w:lang w:val="en-US"/>
        </w:rPr>
        <w:t>setp</w:t>
      </w:r>
      <w:proofErr w:type="spellEnd"/>
      <w:r w:rsidR="003A5079">
        <w:rPr>
          <w:lang w:val="en-US"/>
        </w:rPr>
        <w:t>-up which might not be appropriate for the IAB.</w:t>
      </w:r>
    </w:p>
    <w:p w14:paraId="60079F69" w14:textId="4D2EEF60" w:rsidR="003A5079" w:rsidRDefault="003A5079" w:rsidP="00132FD0">
      <w:pPr>
        <w:rPr>
          <w:lang w:val="en-US"/>
        </w:rPr>
      </w:pPr>
      <w:r>
        <w:rPr>
          <w:lang w:val="en-US"/>
        </w:rPr>
        <w:t xml:space="preserve">One potential means to differentiate IABs could be to assume that wide area IABs are </w:t>
      </w:r>
      <w:proofErr w:type="gramStart"/>
      <w:r>
        <w:rPr>
          <w:lang w:val="en-US"/>
        </w:rPr>
        <w:t>similar to</w:t>
      </w:r>
      <w:proofErr w:type="gramEnd"/>
      <w:r>
        <w:rPr>
          <w:lang w:val="en-US"/>
        </w:rPr>
        <w:t xml:space="preserve"> BS, </w:t>
      </w:r>
      <w:proofErr w:type="spellStart"/>
      <w:r>
        <w:rPr>
          <w:lang w:val="en-US"/>
        </w:rPr>
        <w:t>wheres</w:t>
      </w:r>
      <w:proofErr w:type="spellEnd"/>
      <w:r>
        <w:rPr>
          <w:lang w:val="en-US"/>
        </w:rPr>
        <w:t xml:space="preserve"> local area IABs are smaller devices that can be tested in UE facilities.</w:t>
      </w:r>
    </w:p>
    <w:p w14:paraId="1CA2072D" w14:textId="724BAE11" w:rsidR="003A5079" w:rsidRDefault="003A5079" w:rsidP="00132FD0">
      <w:pPr>
        <w:rPr>
          <w:lang w:val="en-US"/>
        </w:rPr>
      </w:pPr>
      <w:r>
        <w:rPr>
          <w:lang w:val="en-US"/>
        </w:rPr>
        <w:t xml:space="preserve">It should be noted that a similar discussion on MUs and TTs is proceeding for the RF requirements and should be </w:t>
      </w:r>
      <w:proofErr w:type="gramStart"/>
      <w:r>
        <w:rPr>
          <w:lang w:val="en-US"/>
        </w:rPr>
        <w:t>taken into account</w:t>
      </w:r>
      <w:proofErr w:type="gramEnd"/>
      <w:r>
        <w:rPr>
          <w:lang w:val="en-US"/>
        </w:rPr>
        <w:t xml:space="preserve"> when considering MU and TT for </w:t>
      </w:r>
      <w:proofErr w:type="spellStart"/>
      <w:r>
        <w:rPr>
          <w:lang w:val="en-US"/>
        </w:rPr>
        <w:t>demod</w:t>
      </w:r>
      <w:proofErr w:type="spellEnd"/>
      <w:r>
        <w:rPr>
          <w:lang w:val="en-US"/>
        </w:rPr>
        <w:t>.</w:t>
      </w:r>
    </w:p>
    <w:p w14:paraId="5C61A408" w14:textId="28DEA970" w:rsidR="003A5079" w:rsidRDefault="003A5079" w:rsidP="00132FD0">
      <w:pPr>
        <w:rPr>
          <w:lang w:val="en-US"/>
        </w:rPr>
      </w:pPr>
    </w:p>
    <w:p w14:paraId="01170210" w14:textId="3EA9AB68" w:rsidR="003A5079" w:rsidRDefault="003A5079" w:rsidP="00132FD0">
      <w:pPr>
        <w:rPr>
          <w:b/>
          <w:bCs/>
          <w:lang w:val="en-US"/>
        </w:rPr>
      </w:pPr>
      <w:r>
        <w:rPr>
          <w:b/>
          <w:bCs/>
          <w:lang w:val="en-US"/>
        </w:rPr>
        <w:t>Observation 1: There is no basis to compare MU/TT between UE testing and BS testing</w:t>
      </w:r>
    </w:p>
    <w:p w14:paraId="0E21821C" w14:textId="4F03CA92" w:rsidR="003A5079" w:rsidRDefault="003A5079" w:rsidP="00132FD0">
      <w:pPr>
        <w:rPr>
          <w:b/>
          <w:bCs/>
          <w:lang w:val="en-US"/>
        </w:rPr>
      </w:pPr>
      <w:r>
        <w:rPr>
          <w:b/>
          <w:bCs/>
          <w:lang w:val="en-US"/>
        </w:rPr>
        <w:t>Observation 2: It may be hypothesized that a wide area IAB-MT is quite similar to a BS in architecture and will be tested in BS facilities whereas a local area IAB-MT is more like a UE in architecture and may be tested in UE like facilities.</w:t>
      </w:r>
    </w:p>
    <w:p w14:paraId="5F7F244B" w14:textId="2BA0489C" w:rsidR="003A5079" w:rsidRDefault="003A5079" w:rsidP="00132FD0">
      <w:pPr>
        <w:rPr>
          <w:b/>
          <w:bCs/>
          <w:lang w:val="en-US"/>
        </w:rPr>
      </w:pPr>
    </w:p>
    <w:p w14:paraId="3F0E49B6" w14:textId="2AB240B0" w:rsidR="003A5079" w:rsidRDefault="003A5079" w:rsidP="00132FD0">
      <w:pPr>
        <w:rPr>
          <w:u w:val="single"/>
          <w:lang w:val="en-US"/>
        </w:rPr>
      </w:pPr>
      <w:r>
        <w:rPr>
          <w:u w:val="single"/>
          <w:lang w:val="en-US"/>
        </w:rPr>
        <w:t xml:space="preserve">Applicability section and statements </w:t>
      </w:r>
    </w:p>
    <w:p w14:paraId="62CC8111" w14:textId="64C11EAA" w:rsidR="003A5079" w:rsidRDefault="003A5079" w:rsidP="00132FD0">
      <w:pPr>
        <w:rPr>
          <w:lang w:val="en-US"/>
        </w:rPr>
      </w:pPr>
      <w:r>
        <w:rPr>
          <w:lang w:val="en-US"/>
        </w:rPr>
        <w:t>For the IAB-DU, some adjustments are needed to the applicability rules as compared to the BS specification.</w:t>
      </w:r>
    </w:p>
    <w:p w14:paraId="5FC23FE4" w14:textId="5E23025D" w:rsidR="003A5079" w:rsidRDefault="003A5079" w:rsidP="00132FD0">
      <w:pPr>
        <w:rPr>
          <w:lang w:val="en-US"/>
        </w:rPr>
      </w:pPr>
      <w:r>
        <w:rPr>
          <w:lang w:val="en-US"/>
        </w:rPr>
        <w:t xml:space="preserve">For the IAB-MT, there is only a single SCS and bandwidth. Certain IAB-MT requirements (such as PMI and RI) are only applicable if the IAB-MT is declared to support the feature. It is </w:t>
      </w:r>
      <w:proofErr w:type="gramStart"/>
      <w:r>
        <w:rPr>
          <w:lang w:val="en-US"/>
        </w:rPr>
        <w:t>quite obvious</w:t>
      </w:r>
      <w:proofErr w:type="gramEnd"/>
      <w:r>
        <w:rPr>
          <w:lang w:val="en-US"/>
        </w:rPr>
        <w:t xml:space="preserve"> that features that are not declared to be supported should not be tested. Considering these factors, we do not see a need for applicability rules for the IAB-MT.</w:t>
      </w:r>
    </w:p>
    <w:p w14:paraId="001E923D" w14:textId="2FDCE994" w:rsidR="003A5079" w:rsidRDefault="003A5079" w:rsidP="00132FD0">
      <w:pPr>
        <w:rPr>
          <w:lang w:val="en-US"/>
        </w:rPr>
      </w:pPr>
    </w:p>
    <w:p w14:paraId="4513AB68" w14:textId="77777777" w:rsidR="003A5079" w:rsidRDefault="003A5079" w:rsidP="003A5079">
      <w:pPr>
        <w:rPr>
          <w:b/>
          <w:bCs/>
          <w:lang w:val="en-US"/>
        </w:rPr>
      </w:pPr>
      <w:r>
        <w:rPr>
          <w:b/>
          <w:bCs/>
          <w:lang w:val="en-US"/>
        </w:rPr>
        <w:t>Proposal 3: IAB-DU applicability rules are based on the BS applicability rules, adjusted where needed</w:t>
      </w:r>
    </w:p>
    <w:p w14:paraId="1EA39B5C" w14:textId="77777777" w:rsidR="003A5079" w:rsidRPr="003A5079" w:rsidRDefault="003A5079" w:rsidP="003A5079">
      <w:pPr>
        <w:rPr>
          <w:b/>
          <w:bCs/>
          <w:lang w:val="en-US"/>
        </w:rPr>
      </w:pPr>
      <w:r>
        <w:rPr>
          <w:b/>
          <w:bCs/>
          <w:lang w:val="en-US"/>
        </w:rPr>
        <w:t>Proposal 4: No need for IAB-MT applicability rules (functionality not declared to be supported is not tested anyhow).</w:t>
      </w:r>
    </w:p>
    <w:p w14:paraId="08A69B04" w14:textId="77777777" w:rsidR="003742AC" w:rsidRPr="00F6302A" w:rsidRDefault="003742AC" w:rsidP="006E062C">
      <w:pPr>
        <w:rPr>
          <w:lang w:val="en-US"/>
        </w:rPr>
      </w:pPr>
    </w:p>
    <w:p w14:paraId="7A959A5A" w14:textId="77777777" w:rsidR="00C01F33" w:rsidRPr="00F6302A" w:rsidRDefault="00C01F33" w:rsidP="00C01F33">
      <w:pPr>
        <w:pStyle w:val="Heading1"/>
        <w:rPr>
          <w:lang w:val="en-US"/>
        </w:rPr>
      </w:pPr>
      <w:r w:rsidRPr="00F6302A">
        <w:rPr>
          <w:lang w:val="en-US"/>
        </w:rPr>
        <w:t>Conclusion</w:t>
      </w:r>
    </w:p>
    <w:p w14:paraId="4784FE8A" w14:textId="77777777" w:rsidR="003A5079" w:rsidRDefault="003A5079" w:rsidP="003A5079">
      <w:pPr>
        <w:rPr>
          <w:b/>
          <w:bCs/>
          <w:lang w:val="en-US"/>
        </w:rPr>
      </w:pPr>
      <w:r>
        <w:rPr>
          <w:b/>
          <w:bCs/>
          <w:lang w:val="en-US"/>
        </w:rPr>
        <w:t>Proposal 1: Test only the M RF channel.</w:t>
      </w:r>
    </w:p>
    <w:p w14:paraId="49729A18" w14:textId="77777777" w:rsidR="003A5079" w:rsidRPr="00C22F69" w:rsidRDefault="003A5079" w:rsidP="003A5079">
      <w:pPr>
        <w:rPr>
          <w:b/>
          <w:bCs/>
          <w:lang w:val="en-US"/>
        </w:rPr>
      </w:pPr>
      <w:r>
        <w:rPr>
          <w:b/>
          <w:bCs/>
          <w:lang w:val="en-US"/>
        </w:rPr>
        <w:t xml:space="preserve">Proposal </w:t>
      </w:r>
      <w:r w:rsidRPr="00F52F8F">
        <w:rPr>
          <w:b/>
          <w:bCs/>
          <w:lang w:val="en-US"/>
        </w:rPr>
        <w:t xml:space="preserve">2: For radiated requirements, test only in the </w:t>
      </w:r>
      <w:r w:rsidRPr="00964535">
        <w:rPr>
          <w:b/>
          <w:bCs/>
          <w:color w:val="000000"/>
          <w:lang w:val="en-US" w:eastAsia="ja-JP"/>
        </w:rPr>
        <w:t xml:space="preserve">OTA REFSENS </w:t>
      </w:r>
      <w:r w:rsidRPr="00964535">
        <w:rPr>
          <w:b/>
          <w:bCs/>
          <w:i/>
          <w:iCs/>
          <w:color w:val="000000"/>
          <w:lang w:val="en-US" w:eastAsia="ja-JP"/>
        </w:rPr>
        <w:t>receiver target reference direction</w:t>
      </w:r>
    </w:p>
    <w:p w14:paraId="51B760EF" w14:textId="77777777" w:rsidR="003A5079" w:rsidRDefault="003A5079" w:rsidP="003A5079">
      <w:pPr>
        <w:rPr>
          <w:b/>
          <w:bCs/>
          <w:lang w:val="en-US"/>
        </w:rPr>
      </w:pPr>
      <w:r>
        <w:rPr>
          <w:b/>
          <w:bCs/>
          <w:lang w:val="en-US"/>
        </w:rPr>
        <w:t>Observation 1: There is no basis to compare MU/TT between UE testing and BS testing</w:t>
      </w:r>
    </w:p>
    <w:p w14:paraId="030E97C8" w14:textId="77777777" w:rsidR="003A5079" w:rsidRDefault="003A5079" w:rsidP="003A5079">
      <w:pPr>
        <w:rPr>
          <w:b/>
          <w:bCs/>
          <w:lang w:val="en-US"/>
        </w:rPr>
      </w:pPr>
      <w:r>
        <w:rPr>
          <w:b/>
          <w:bCs/>
          <w:lang w:val="en-US"/>
        </w:rPr>
        <w:t>Observation 2: It may be hypothesized that a wide area IAB-MT is quite similar to a BS in architecture and will be tested in BS facilities whereas a local area IAB-MT is more like a UE in architecture and may be tested in UE like facilities.</w:t>
      </w:r>
    </w:p>
    <w:p w14:paraId="058BE574" w14:textId="77777777" w:rsidR="003A5079" w:rsidRDefault="003A5079" w:rsidP="003A5079">
      <w:pPr>
        <w:rPr>
          <w:b/>
          <w:bCs/>
          <w:lang w:val="en-US"/>
        </w:rPr>
      </w:pPr>
      <w:r>
        <w:rPr>
          <w:b/>
          <w:bCs/>
          <w:lang w:val="en-US"/>
        </w:rPr>
        <w:t>Proposal 3: IAB-DU applicability rules are based on the BS applicability rules, adjusted where needed</w:t>
      </w:r>
    </w:p>
    <w:p w14:paraId="62EE3C20" w14:textId="77777777" w:rsidR="003A5079" w:rsidRPr="003A5079" w:rsidRDefault="003A5079" w:rsidP="003A5079">
      <w:pPr>
        <w:rPr>
          <w:b/>
          <w:bCs/>
          <w:lang w:val="en-US"/>
        </w:rPr>
      </w:pPr>
      <w:r>
        <w:rPr>
          <w:b/>
          <w:bCs/>
          <w:lang w:val="en-US"/>
        </w:rPr>
        <w:lastRenderedPageBreak/>
        <w:t>Proposal 4: No need for IAB-MT applicability rules (functionality not declared to be supported is not tested anyhow).</w:t>
      </w:r>
    </w:p>
    <w:p w14:paraId="350CEB82" w14:textId="2327C388" w:rsidR="00AB0BC8" w:rsidRPr="00F6302A" w:rsidRDefault="00AB0BC8" w:rsidP="00AB0BC8">
      <w:pPr>
        <w:rPr>
          <w:b/>
          <w:bCs/>
          <w:lang w:val="en-US"/>
        </w:rPr>
      </w:pPr>
    </w:p>
    <w:p w14:paraId="3F79C21F" w14:textId="77777777" w:rsidR="003A7EF3" w:rsidRPr="00F6302A" w:rsidRDefault="003A7EF3" w:rsidP="00311702">
      <w:pPr>
        <w:pStyle w:val="BodyText"/>
        <w:rPr>
          <w:lang w:val="en-US"/>
        </w:rPr>
      </w:pPr>
    </w:p>
    <w:sectPr w:rsidR="003A7EF3" w:rsidRPr="00F6302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D324D" w14:textId="77777777" w:rsidR="004F376D" w:rsidRDefault="004F376D">
      <w:r>
        <w:separator/>
      </w:r>
    </w:p>
  </w:endnote>
  <w:endnote w:type="continuationSeparator" w:id="0">
    <w:p w14:paraId="1493D2CD" w14:textId="77777777" w:rsidR="004F376D" w:rsidRDefault="004F3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B3EB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DC3C4" w14:textId="77777777" w:rsidR="004F376D" w:rsidRDefault="004F376D">
      <w:r>
        <w:separator/>
      </w:r>
    </w:p>
  </w:footnote>
  <w:footnote w:type="continuationSeparator" w:id="0">
    <w:p w14:paraId="45ACBBA8" w14:textId="77777777" w:rsidR="004F376D" w:rsidRDefault="004F3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09CC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16653"/>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3AE"/>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501"/>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28D7"/>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079"/>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376D"/>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535"/>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F69"/>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2F8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40E8B8"/>
  <w15:chartTrackingRefBased/>
  <w15:docId w15:val="{0246846F-E316-4DB6-BEE2-70D89F6D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3AE"/>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D53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53AE"/>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B637FE-B58B-49DE-B7CF-7C2B84EACEDC}">
  <ds:schemaRefs>
    <ds:schemaRef ds:uri="http://schemas.microsoft.com/sharepoint/v3/contenttype/forms"/>
  </ds:schemaRefs>
</ds:datastoreItem>
</file>

<file path=customXml/itemProps2.xml><?xml version="1.0" encoding="utf-8"?>
<ds:datastoreItem xmlns:ds="http://schemas.openxmlformats.org/officeDocument/2006/customXml" ds:itemID="{BD9712FD-EE41-4E3C-A39F-DB5C8BE5238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18760BB-465F-43F3-9069-C066D6BA3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643</Words>
  <Characters>3409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4044</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4</cp:revision>
  <cp:lastPrinted>2008-01-31T07:09:00Z</cp:lastPrinted>
  <dcterms:created xsi:type="dcterms:W3CDTF">2021-04-26T15:22:00Z</dcterms:created>
  <dcterms:modified xsi:type="dcterms:W3CDTF">2021-05-11T13:23:00Z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